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7CA" w14:textId="77777777" w:rsidR="00206288" w:rsidRDefault="00206288" w:rsidP="00206288">
      <w:pPr>
        <w:jc w:val="right"/>
      </w:pPr>
      <w:r>
        <w:t>Olkusz, dnia 22.10.2021r.</w:t>
      </w:r>
    </w:p>
    <w:p w14:paraId="1B2A9CA2" w14:textId="3B68A2A8" w:rsidR="00206288" w:rsidRDefault="00206288" w:rsidP="00206288">
      <w:pPr>
        <w:pStyle w:val="Nagwek1"/>
      </w:pPr>
      <w:r w:rsidRPr="00206288">
        <w:t>Sprawozdanie</w:t>
      </w:r>
      <w:r>
        <w:br/>
        <w:t>z przeprowadzenia konsultacji z organizacjami pozarządowymi i innymi podmiotami projektu ,,Programu współpracy Powiatu Olkuskiego z organizacjami pozarządowymi oraz podmiotami prowadzącymi działalność pożytku publicznego na 2022 rok”.</w:t>
      </w:r>
    </w:p>
    <w:p w14:paraId="0FCEA35C" w14:textId="77777777" w:rsidR="00206288" w:rsidRDefault="00206288" w:rsidP="00206288">
      <w:pPr>
        <w:rPr>
          <w:b/>
          <w:bCs/>
        </w:rPr>
      </w:pPr>
      <w:r w:rsidRPr="00206288">
        <w:rPr>
          <w:rStyle w:val="Nagwek2Znak"/>
        </w:rPr>
        <w:t>Przedmiot konsultacji</w:t>
      </w:r>
    </w:p>
    <w:p w14:paraId="08205C66" w14:textId="698E86E4" w:rsidR="00206288" w:rsidRDefault="00206288" w:rsidP="00206288">
      <w:r>
        <w:t>„Program współpracy Powiatu Olkuskiego z organizacjami pozarządowymi oraz podmiotami prowadzącymi działalność pożytku publicznego na 2022 rok”.</w:t>
      </w:r>
    </w:p>
    <w:p w14:paraId="178E5936" w14:textId="77777777" w:rsidR="00206288" w:rsidRDefault="00206288" w:rsidP="00206288">
      <w:pPr>
        <w:pStyle w:val="Nagwek2"/>
      </w:pPr>
      <w:r w:rsidRPr="00206288">
        <w:t>Podstawa prawna</w:t>
      </w:r>
    </w:p>
    <w:p w14:paraId="2DC31243" w14:textId="0E240988" w:rsidR="00206288" w:rsidRDefault="00206288" w:rsidP="00206288">
      <w:r>
        <w:t xml:space="preserve">Na podstawie art. 32 ust. 1 Ustawy z dnia 5 czerwca 1998 r. o samorządzie powiatowym (Dz. U. 2020r. poz. 920) art. 5a ust. 1 Ustawy z dnia 24 kwietnia 2003 r. o działalności pożytku publicznego i o wolontariacie (Dz. U. z 2020r. poz. 1057) oraz Uchwały Nr XLVII/378/2010 Rady Powiatu Olkuskiego z dnia 3 listopada 2010 r., Starosta Olkuski ogłosił konsultacje ,,Programu współpracy Powiatu Olkuskiego z organizacjami pozarządowymi oraz podmiotami prowadzącymi działalność pożytku publicznego na 2022 rok”. </w:t>
      </w:r>
    </w:p>
    <w:p w14:paraId="097A37C1" w14:textId="77777777" w:rsidR="00206288" w:rsidRDefault="00206288" w:rsidP="00206288">
      <w:pPr>
        <w:pStyle w:val="Nagwek2"/>
      </w:pPr>
      <w:r w:rsidRPr="00206288">
        <w:t>Podmiot uprawniony do konsultacji</w:t>
      </w:r>
    </w:p>
    <w:p w14:paraId="65E26334" w14:textId="77777777" w:rsidR="00206288" w:rsidRDefault="00206288" w:rsidP="00206288">
      <w:pPr>
        <w:pStyle w:val="Akapitzlist"/>
        <w:numPr>
          <w:ilvl w:val="0"/>
          <w:numId w:val="11"/>
        </w:numPr>
      </w:pPr>
      <w:r>
        <w:t>organizacje pozarządowe;</w:t>
      </w:r>
    </w:p>
    <w:p w14:paraId="226C8699" w14:textId="77777777" w:rsidR="00206288" w:rsidRDefault="00206288" w:rsidP="00206288">
      <w:pPr>
        <w:pStyle w:val="Akapitzlist"/>
        <w:numPr>
          <w:ilvl w:val="0"/>
          <w:numId w:val="11"/>
        </w:numPr>
      </w:pPr>
      <w:r>
        <w:t>podmioty prowadzące działalność pożytku publicznego wymienione w art. 3 ust. 3 ustawy o działalności pożytku publicznego i o wolontariacie.</w:t>
      </w:r>
    </w:p>
    <w:p w14:paraId="14D3248B" w14:textId="77777777" w:rsidR="00206288" w:rsidRDefault="00206288" w:rsidP="00206288">
      <w:pPr>
        <w:pStyle w:val="Nagwek2"/>
      </w:pPr>
      <w:r w:rsidRPr="00206288">
        <w:t xml:space="preserve">Cel konsultacji </w:t>
      </w:r>
    </w:p>
    <w:p w14:paraId="0A620326" w14:textId="67C53D72" w:rsidR="00206288" w:rsidRDefault="00206288" w:rsidP="00206288">
      <w:r>
        <w:t xml:space="preserve">Celem konsultacji było zapewnienie dialogu obywatelskiego oraz współpracy pomiędzy sektorem pozarządowym, działającym na terenie powiatu olkuskiego. </w:t>
      </w:r>
    </w:p>
    <w:p w14:paraId="4FB5DE20" w14:textId="77777777" w:rsidR="00206288" w:rsidRDefault="00206288" w:rsidP="00206288">
      <w:pPr>
        <w:pStyle w:val="Nagwek2"/>
      </w:pPr>
      <w:r w:rsidRPr="00206288">
        <w:t>Termin konsultacji</w:t>
      </w:r>
    </w:p>
    <w:p w14:paraId="488C20A3" w14:textId="0B156AFB" w:rsidR="00206288" w:rsidRDefault="00206288" w:rsidP="00206288">
      <w:r>
        <w:t>Konsultacje trwały od 22.09.2021 r. do 20.10.2021 r.</w:t>
      </w:r>
    </w:p>
    <w:p w14:paraId="33B61E26" w14:textId="77777777" w:rsidR="00AB5290" w:rsidRDefault="00206288" w:rsidP="00AB5290">
      <w:pPr>
        <w:pStyle w:val="Nagwek2"/>
      </w:pPr>
      <w:r w:rsidRPr="00AB5290">
        <w:lastRenderedPageBreak/>
        <w:t>Sposób odnoszenia uwag i opinii</w:t>
      </w:r>
    </w:p>
    <w:p w14:paraId="249014DF" w14:textId="38E491B2" w:rsidR="00206288" w:rsidRDefault="00206288" w:rsidP="00AB5290">
      <w:r>
        <w:t>Uwagi i opinie należało wnosić w formie pisemnej, drogą elektroniczną lub pocztą tradycyjną, na formularzu stanowiącym załącznik do ww. ogłoszenia.</w:t>
      </w:r>
    </w:p>
    <w:p w14:paraId="2AD3B2E8" w14:textId="77777777" w:rsidR="00AB5290" w:rsidRDefault="00206288" w:rsidP="00AB5290">
      <w:pPr>
        <w:pStyle w:val="Nagwek2"/>
      </w:pPr>
      <w:r w:rsidRPr="00A51792">
        <w:t>Wynik konsultacji</w:t>
      </w:r>
    </w:p>
    <w:p w14:paraId="467D7A17" w14:textId="4A61F3D3" w:rsidR="00206288" w:rsidRPr="00794C49" w:rsidRDefault="00206288" w:rsidP="00206288">
      <w:pPr>
        <w:rPr>
          <w:rFonts w:cs="Tahoma"/>
        </w:rPr>
      </w:pPr>
      <w:r w:rsidRPr="00A51792">
        <w:rPr>
          <w:rFonts w:cstheme="minorHAnsi"/>
        </w:rPr>
        <w:t>W dniu 24 września 2021r.</w:t>
      </w:r>
      <w:r>
        <w:rPr>
          <w:rFonts w:cstheme="minorHAnsi"/>
        </w:rPr>
        <w:t xml:space="preserve"> w Starostwie Powiatowym w Olkuszu</w:t>
      </w:r>
      <w:r w:rsidRPr="00A51792">
        <w:rPr>
          <w:rFonts w:cstheme="minorHAnsi"/>
        </w:rPr>
        <w:t xml:space="preserve"> odbył</w:t>
      </w:r>
      <w:r>
        <w:rPr>
          <w:rFonts w:cstheme="minorHAnsi"/>
        </w:rPr>
        <w:t>o</w:t>
      </w:r>
      <w:r w:rsidRPr="00A51792">
        <w:rPr>
          <w:rFonts w:cstheme="minorHAnsi"/>
        </w:rPr>
        <w:t xml:space="preserve"> się </w:t>
      </w:r>
      <w:r>
        <w:rPr>
          <w:rFonts w:cstheme="minorHAnsi"/>
        </w:rPr>
        <w:t xml:space="preserve">spotkanie </w:t>
      </w:r>
      <w:r w:rsidRPr="00A51792">
        <w:rPr>
          <w:rFonts w:cstheme="minorHAnsi"/>
        </w:rPr>
        <w:t>konsultac</w:t>
      </w:r>
      <w:r>
        <w:rPr>
          <w:rFonts w:cstheme="minorHAnsi"/>
        </w:rPr>
        <w:t xml:space="preserve">yjne dotyczące </w:t>
      </w:r>
      <w:r w:rsidRPr="00A51792">
        <w:rPr>
          <w:rFonts w:cstheme="minorHAnsi"/>
        </w:rPr>
        <w:t>założeń do Programu Współpracy</w:t>
      </w:r>
      <w:r w:rsidRPr="001E5197">
        <w:rPr>
          <w:rFonts w:cstheme="minorHAnsi"/>
          <w:sz w:val="24"/>
          <w:szCs w:val="24"/>
        </w:rPr>
        <w:t xml:space="preserve"> </w:t>
      </w:r>
      <w:r w:rsidRPr="00794C49">
        <w:rPr>
          <w:rFonts w:cstheme="minorHAnsi"/>
        </w:rPr>
        <w:t xml:space="preserve">Powiatu </w:t>
      </w:r>
      <w:r w:rsidRPr="00794C49">
        <w:rPr>
          <w:rFonts w:cs="Tahoma"/>
        </w:rPr>
        <w:t>Olkuskiego z Organizacjami Pozarządowymi na 2022 rok. Spotkanie odbyło się z udziałem Starosty Bogumiła Sobczyka i Wicestarosty Pauliny Polak oraz licznego grona Przedstawicieli organizacji pozarządowych z terenu powiatu.</w:t>
      </w:r>
    </w:p>
    <w:p w14:paraId="56C19E58" w14:textId="77777777" w:rsidR="00206288" w:rsidRPr="00794C49" w:rsidRDefault="00206288" w:rsidP="00206288">
      <w:pPr>
        <w:jc w:val="both"/>
        <w:rPr>
          <w:rFonts w:cs="Tahoma"/>
        </w:rPr>
      </w:pPr>
      <w:r w:rsidRPr="00794C49">
        <w:rPr>
          <w:rFonts w:cs="Tahoma"/>
        </w:rPr>
        <w:t xml:space="preserve">Przedmiotem dyskusji był zakres współpracy finansowej i pozafinansowej Powiatu z organizacjami pozarządowymi. </w:t>
      </w:r>
    </w:p>
    <w:p w14:paraId="5CE47593" w14:textId="77777777" w:rsidR="00206288" w:rsidRPr="00794C49" w:rsidRDefault="00206288" w:rsidP="00E56E56">
      <w:r w:rsidRPr="00794C49">
        <w:t xml:space="preserve">W zakresie </w:t>
      </w:r>
      <w:r w:rsidRPr="00794C49">
        <w:rPr>
          <w:b/>
          <w:bCs/>
        </w:rPr>
        <w:t>współpracy pozafinansowej</w:t>
      </w:r>
      <w:r w:rsidRPr="00794C49">
        <w:t xml:space="preserve"> przedstawiono proponowane priorytety na rok 2022r.:</w:t>
      </w:r>
    </w:p>
    <w:p w14:paraId="437F7FEA" w14:textId="77777777" w:rsidR="00206288" w:rsidRPr="00E56E56" w:rsidRDefault="00206288" w:rsidP="00206288">
      <w:pPr>
        <w:pStyle w:val="Akapitzlist"/>
        <w:numPr>
          <w:ilvl w:val="0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>Priorytety Powiatu Olkuskiego w zakresie współpracy pozafinansowej w 2022r.:</w:t>
      </w:r>
    </w:p>
    <w:p w14:paraId="0D5B02FC" w14:textId="77777777" w:rsidR="00206288" w:rsidRPr="00E56E56" w:rsidRDefault="00206288" w:rsidP="00206288">
      <w:pPr>
        <w:pStyle w:val="Akapitzlist"/>
        <w:numPr>
          <w:ilvl w:val="1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 xml:space="preserve">wzmocnienie współpracy branżowej organizacji pozarządowych z Powiatem i jego Jednostkami poprzez m.in. organizację spotkań branżowych, </w:t>
      </w:r>
    </w:p>
    <w:p w14:paraId="778E4241" w14:textId="77777777" w:rsidR="00206288" w:rsidRPr="00E56E56" w:rsidRDefault="00206288" w:rsidP="00206288">
      <w:pPr>
        <w:pStyle w:val="Akapitzlist"/>
        <w:numPr>
          <w:ilvl w:val="1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 xml:space="preserve">prowadzenie działań edukacyjnych adresowanych do organizacji pozarządowych z terenu powiatu, </w:t>
      </w:r>
    </w:p>
    <w:p w14:paraId="2790A71C" w14:textId="77777777" w:rsidR="00206288" w:rsidRPr="00E56E56" w:rsidRDefault="00206288" w:rsidP="00206288">
      <w:pPr>
        <w:pStyle w:val="Akapitzlist"/>
        <w:numPr>
          <w:ilvl w:val="1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>włączanie zainteresowanych organizacji pozarządowych w planowanie i realizację imprez i uroczystości o charakterze stałym lub periodycznym,</w:t>
      </w:r>
    </w:p>
    <w:p w14:paraId="3846A705" w14:textId="77777777" w:rsidR="00E56E56" w:rsidRDefault="00206288" w:rsidP="00206288">
      <w:pPr>
        <w:pStyle w:val="Akapitzlist"/>
        <w:numPr>
          <w:ilvl w:val="1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 xml:space="preserve">wskazanie pełnomocnika współpracy z organizacjami pozarządowymi </w:t>
      </w:r>
    </w:p>
    <w:p w14:paraId="68C2EF5A" w14:textId="4293B9AB" w:rsidR="00206288" w:rsidRPr="00E56E56" w:rsidRDefault="00206288" w:rsidP="00E56E56">
      <w:pPr>
        <w:pStyle w:val="Akapitzlist"/>
        <w:numPr>
          <w:ilvl w:val="0"/>
          <w:numId w:val="7"/>
        </w:numPr>
        <w:spacing w:before="0" w:after="320"/>
        <w:rPr>
          <w:rFonts w:cs="Tahoma"/>
        </w:rPr>
      </w:pPr>
      <w:r w:rsidRPr="00E56E56">
        <w:rPr>
          <w:rFonts w:cs="Tahoma"/>
        </w:rPr>
        <w:t xml:space="preserve">W wyniku dyskusji uzupełniono propozycje o dwa kolejne kierunki działań: </w:t>
      </w:r>
    </w:p>
    <w:p w14:paraId="19653D9E" w14:textId="77777777" w:rsidR="00206288" w:rsidRPr="00794C49" w:rsidRDefault="00206288" w:rsidP="00206288">
      <w:pPr>
        <w:pStyle w:val="Akapitzlist"/>
        <w:numPr>
          <w:ilvl w:val="0"/>
          <w:numId w:val="8"/>
        </w:numPr>
        <w:spacing w:before="0" w:after="320"/>
        <w:rPr>
          <w:rFonts w:cs="Tahoma"/>
        </w:rPr>
      </w:pPr>
      <w:r w:rsidRPr="00794C49">
        <w:rPr>
          <w:rFonts w:cs="Tahoma"/>
        </w:rPr>
        <w:t xml:space="preserve">bieżąca wymiana informacji, </w:t>
      </w:r>
    </w:p>
    <w:p w14:paraId="5BF99BC8" w14:textId="77777777" w:rsidR="00206288" w:rsidRPr="00794C49" w:rsidRDefault="00206288" w:rsidP="00206288">
      <w:pPr>
        <w:pStyle w:val="Akapitzlist"/>
        <w:numPr>
          <w:ilvl w:val="0"/>
          <w:numId w:val="8"/>
        </w:numPr>
        <w:spacing w:before="0" w:after="320"/>
        <w:rPr>
          <w:rFonts w:cs="Tahoma"/>
        </w:rPr>
      </w:pPr>
      <w:r w:rsidRPr="00794C49">
        <w:rPr>
          <w:rFonts w:cs="Tahoma"/>
        </w:rPr>
        <w:t xml:space="preserve">promocja organizacji pozarządowych, m. in. poprzez rozwój współpracy organizacji ze szkołami, </w:t>
      </w:r>
    </w:p>
    <w:p w14:paraId="11DA2924" w14:textId="6339D0E7" w:rsidR="00206288" w:rsidRPr="00794C49" w:rsidRDefault="00206288" w:rsidP="00E56E56">
      <w:r w:rsidRPr="00794C49">
        <w:t xml:space="preserve">Dodatkowo uzgodniono zakres tematyczny spotkań branżowych. Zaproponowano spotkania wokół tematu niepełnosprawności z udziałem </w:t>
      </w:r>
      <w:proofErr w:type="spellStart"/>
      <w:r w:rsidRPr="00794C49">
        <w:t>PCPRu</w:t>
      </w:r>
      <w:proofErr w:type="spellEnd"/>
      <w:r w:rsidRPr="00794C49">
        <w:t xml:space="preserve"> i Powiatowego Zespołu ds. Orzekania o Niepełnosprawności, wokół tematyki sportowej oraz w gronie Ochotniczych Straży Pożarnych. </w:t>
      </w:r>
    </w:p>
    <w:p w14:paraId="7969099D" w14:textId="77777777" w:rsidR="00206288" w:rsidRPr="00794C49" w:rsidRDefault="00206288" w:rsidP="00206288">
      <w:pPr>
        <w:jc w:val="both"/>
        <w:rPr>
          <w:rFonts w:cs="Tahoma"/>
        </w:rPr>
      </w:pPr>
      <w:r w:rsidRPr="00794C49">
        <w:rPr>
          <w:rFonts w:cs="Tahoma"/>
        </w:rPr>
        <w:t xml:space="preserve">W obszarze </w:t>
      </w:r>
      <w:r w:rsidRPr="00794C49">
        <w:rPr>
          <w:rFonts w:cs="Tahoma"/>
          <w:b/>
          <w:bCs/>
        </w:rPr>
        <w:t>współpracy finansowej</w:t>
      </w:r>
      <w:r w:rsidRPr="00794C49">
        <w:rPr>
          <w:rFonts w:cs="Tahoma"/>
        </w:rPr>
        <w:t xml:space="preserve"> zgłoszono następujące postulaty:</w:t>
      </w:r>
    </w:p>
    <w:p w14:paraId="4DA2CD70" w14:textId="77777777" w:rsidR="00206288" w:rsidRPr="00794C49" w:rsidRDefault="00206288" w:rsidP="00206288">
      <w:pPr>
        <w:pStyle w:val="Akapitzlist"/>
        <w:numPr>
          <w:ilvl w:val="0"/>
          <w:numId w:val="9"/>
        </w:numPr>
        <w:spacing w:before="0" w:after="320"/>
        <w:jc w:val="both"/>
        <w:rPr>
          <w:rFonts w:cs="Tahoma"/>
        </w:rPr>
      </w:pPr>
      <w:r w:rsidRPr="00794C49">
        <w:rPr>
          <w:rFonts w:cs="Tahoma"/>
        </w:rPr>
        <w:t xml:space="preserve">konieczność uwzględnienie w priorytetach współpracy międzynarodowej i działań związanych z promocją kultury polskiej za granicą, </w:t>
      </w:r>
    </w:p>
    <w:p w14:paraId="79B00FD6" w14:textId="77777777" w:rsidR="00206288" w:rsidRPr="00794C49" w:rsidRDefault="00206288" w:rsidP="00206288">
      <w:pPr>
        <w:pStyle w:val="Akapitzlist"/>
        <w:numPr>
          <w:ilvl w:val="0"/>
          <w:numId w:val="9"/>
        </w:numPr>
        <w:spacing w:before="0" w:after="320"/>
        <w:jc w:val="both"/>
        <w:rPr>
          <w:rFonts w:cs="Tahoma"/>
        </w:rPr>
      </w:pPr>
      <w:r w:rsidRPr="00794C49">
        <w:rPr>
          <w:rFonts w:cs="Tahoma"/>
        </w:rPr>
        <w:lastRenderedPageBreak/>
        <w:t>zwiększenie środków na współpracę w obszarze sportu (w 2021r. kwota ta wynosi 25 tys. zł),</w:t>
      </w:r>
    </w:p>
    <w:p w14:paraId="725C6FE3" w14:textId="77777777" w:rsidR="00206288" w:rsidRPr="00794C49" w:rsidRDefault="00206288" w:rsidP="00206288">
      <w:pPr>
        <w:pStyle w:val="Akapitzlist"/>
        <w:numPr>
          <w:ilvl w:val="0"/>
          <w:numId w:val="9"/>
        </w:numPr>
        <w:spacing w:before="0" w:after="320"/>
        <w:jc w:val="both"/>
        <w:rPr>
          <w:rFonts w:cs="Tahoma"/>
        </w:rPr>
      </w:pPr>
      <w:r w:rsidRPr="00794C49">
        <w:rPr>
          <w:rFonts w:cs="Tahoma"/>
        </w:rPr>
        <w:t>zwiększenie środków na współpracę w obszarze kultury (w 2021r. kwota ta wynosi 10 tys. zł)</w:t>
      </w:r>
      <w:r>
        <w:rPr>
          <w:rFonts w:cs="Tahoma"/>
        </w:rPr>
        <w:t>.</w:t>
      </w:r>
    </w:p>
    <w:p w14:paraId="5F3D4E13" w14:textId="41426F2C" w:rsidR="00206288" w:rsidRPr="00794C49" w:rsidRDefault="00206288" w:rsidP="00206288">
      <w:pPr>
        <w:jc w:val="both"/>
        <w:rPr>
          <w:rFonts w:cs="Tahoma"/>
        </w:rPr>
      </w:pPr>
      <w:r w:rsidRPr="00794C49">
        <w:rPr>
          <w:rFonts w:cs="Tahoma"/>
        </w:rPr>
        <w:t xml:space="preserve">Przedmiotem dyskusji w tej części spotkania był również tryb współpracy finansowej. Większość przedstawicieli organizacji zgodziła się, że w sytuacji niewystarczających środków oraz wielu zainteresowanych NGO, </w:t>
      </w:r>
      <w:r>
        <w:rPr>
          <w:rFonts w:cs="Tahoma"/>
        </w:rPr>
        <w:t>należy przeanalizować oprócz tzw. ,,małych grantów”,</w:t>
      </w:r>
      <w:r w:rsidRPr="00794C49">
        <w:rPr>
          <w:rFonts w:cs="Tahoma"/>
        </w:rPr>
        <w:t xml:space="preserve"> tryb dystrybucji środków oparty o otwarty konkurs ofert</w:t>
      </w:r>
      <w:r>
        <w:rPr>
          <w:rFonts w:cs="Tahoma"/>
        </w:rPr>
        <w:t xml:space="preserve">. </w:t>
      </w:r>
      <w:r w:rsidRPr="00794C49">
        <w:rPr>
          <w:rFonts w:cs="Tahoma"/>
        </w:rPr>
        <w:t xml:space="preserve">Realizacja otwartego konkursu daje równe szanse wszystkim i pozwala na wybór najlepszych ofert. </w:t>
      </w:r>
    </w:p>
    <w:p w14:paraId="4DE91D6C" w14:textId="16832C2D" w:rsidR="00206288" w:rsidRPr="00794C49" w:rsidRDefault="00206288" w:rsidP="00206288">
      <w:pPr>
        <w:rPr>
          <w:rFonts w:cs="Tahoma"/>
        </w:rPr>
      </w:pPr>
      <w:r w:rsidRPr="00794C49">
        <w:rPr>
          <w:rFonts w:cs="Tahoma"/>
        </w:rPr>
        <w:t>Spotkanie zostało zorganizowane w ramach współpracy w projekcie MOWES.</w:t>
      </w:r>
    </w:p>
    <w:p w14:paraId="2DC9D6E5" w14:textId="3F3070F9" w:rsidR="009C4BB7" w:rsidRDefault="00206288" w:rsidP="00206288">
      <w:pPr>
        <w:rPr>
          <w:rFonts w:cs="Tahoma"/>
        </w:rPr>
      </w:pPr>
      <w:r w:rsidRPr="00794C49">
        <w:rPr>
          <w:rFonts w:cs="Tahoma"/>
        </w:rPr>
        <w:t xml:space="preserve">W dniu 15.10.2021 r. Stowarzyszenie </w:t>
      </w:r>
      <w:proofErr w:type="spellStart"/>
      <w:r w:rsidRPr="00794C49">
        <w:rPr>
          <w:rFonts w:cs="Tahoma"/>
        </w:rPr>
        <w:t>WioskoSfera</w:t>
      </w:r>
      <w:proofErr w:type="spellEnd"/>
      <w:r w:rsidRPr="00794C49">
        <w:rPr>
          <w:rFonts w:cs="Tahoma"/>
        </w:rPr>
        <w:t xml:space="preserve"> złożyło na formularzu zgłoszenia opinii/uwag propozycję zmian zapisów ,,Programu Współpracy Powiatu Olkuskiego z organizacjami pozarządowymi oraz podmiotami prowadzącymi działalność pożytku publicznego na rok 2022”, która dotyczyła dopisania do programu realizację zadania publicznego z zakresu działalności na rzecz osób w wieku emerytalnym, a środki finansowe które miały być przeznaczone na ten cel to 10 tyś. zł.</w:t>
      </w:r>
    </w:p>
    <w:p w14:paraId="7EEC578C" w14:textId="5B402A12" w:rsidR="009C4BB7" w:rsidRDefault="009C4BB7" w:rsidP="00895F0E">
      <w:pPr>
        <w:rPr>
          <w:rFonts w:cs="Tahoma"/>
        </w:rPr>
      </w:pPr>
      <w:r>
        <w:rPr>
          <w:rFonts w:cs="Tahoma"/>
        </w:rPr>
        <w:t xml:space="preserve">Sprawozdanie przyjęto na posiedzeniu Zarządu w dniu </w:t>
      </w:r>
      <w:r w:rsidR="00895F0E">
        <w:rPr>
          <w:rFonts w:cs="Tahoma"/>
        </w:rPr>
        <w:t>25.10.2021</w:t>
      </w:r>
      <w:r>
        <w:rPr>
          <w:rFonts w:cs="Tahoma"/>
        </w:rPr>
        <w:t xml:space="preserve"> r.</w:t>
      </w:r>
    </w:p>
    <w:p w14:paraId="542E7763" w14:textId="41FC76C2" w:rsidR="009C4BB7" w:rsidRDefault="009C4BB7" w:rsidP="00895F0E">
      <w:pPr>
        <w:jc w:val="right"/>
        <w:rPr>
          <w:rFonts w:cs="Tahoma"/>
        </w:rPr>
      </w:pPr>
      <w:r>
        <w:rPr>
          <w:rFonts w:cs="Tahoma"/>
        </w:rPr>
        <w:t>Przewodniczący Zarządu</w:t>
      </w:r>
    </w:p>
    <w:p w14:paraId="0D64D209" w14:textId="479AC9F5" w:rsidR="00895F0E" w:rsidRDefault="00895F0E" w:rsidP="00895F0E">
      <w:pPr>
        <w:jc w:val="right"/>
        <w:rPr>
          <w:rFonts w:cs="Tahoma"/>
        </w:rPr>
      </w:pPr>
      <w:r>
        <w:rPr>
          <w:rFonts w:cs="Tahoma"/>
        </w:rPr>
        <w:t xml:space="preserve">Starosta </w:t>
      </w:r>
    </w:p>
    <w:p w14:paraId="6CE27BBC" w14:textId="452D190F" w:rsidR="00895F0E" w:rsidRPr="00794C49" w:rsidRDefault="00895F0E" w:rsidP="00895F0E">
      <w:pPr>
        <w:jc w:val="right"/>
        <w:rPr>
          <w:rFonts w:cs="Tahoma"/>
        </w:rPr>
      </w:pPr>
      <w:r>
        <w:rPr>
          <w:rFonts w:cs="Tahoma"/>
        </w:rPr>
        <w:t>Bogumił Sobczyk</w:t>
      </w:r>
    </w:p>
    <w:sectPr w:rsidR="00895F0E" w:rsidRPr="00794C4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DD"/>
    <w:multiLevelType w:val="hybridMultilevel"/>
    <w:tmpl w:val="A6F4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F60D9B"/>
    <w:multiLevelType w:val="hybridMultilevel"/>
    <w:tmpl w:val="4F8C173E"/>
    <w:lvl w:ilvl="0" w:tplc="031A48E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AE51DB"/>
    <w:multiLevelType w:val="hybridMultilevel"/>
    <w:tmpl w:val="2B1AC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B04"/>
    <w:multiLevelType w:val="hybridMultilevel"/>
    <w:tmpl w:val="853E3D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0790"/>
    <w:multiLevelType w:val="hybridMultilevel"/>
    <w:tmpl w:val="768EBC0E"/>
    <w:lvl w:ilvl="0" w:tplc="E0385CD8">
      <w:start w:val="1"/>
      <w:numFmt w:val="upperRoman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88"/>
    <w:rsid w:val="000A0A45"/>
    <w:rsid w:val="00173C19"/>
    <w:rsid w:val="00206288"/>
    <w:rsid w:val="00222BCF"/>
    <w:rsid w:val="00266C55"/>
    <w:rsid w:val="006B616D"/>
    <w:rsid w:val="006C352F"/>
    <w:rsid w:val="00895F0E"/>
    <w:rsid w:val="009C4BB7"/>
    <w:rsid w:val="00AB5290"/>
    <w:rsid w:val="00AC278F"/>
    <w:rsid w:val="00E56E56"/>
    <w:rsid w:val="00E75E1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0D9B"/>
  <w15:chartTrackingRefBased/>
  <w15:docId w15:val="{47328D1D-532D-4F32-BA31-2FD6954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288"/>
    <w:pPr>
      <w:spacing w:before="320" w:line="288" w:lineRule="auto"/>
    </w:pPr>
    <w:rPr>
      <w:rFonts w:ascii="Tahoma" w:eastAsiaTheme="minorHAnsi" w:hAnsi="Tahoma"/>
      <w:lang w:eastAsia="en-US"/>
    </w:rPr>
  </w:style>
  <w:style w:type="paragraph" w:styleId="Nagwek1">
    <w:name w:val="heading 1"/>
    <w:basedOn w:val="Normalny"/>
    <w:link w:val="Nagwek1Znak"/>
    <w:autoRedefine/>
    <w:qFormat/>
    <w:rsid w:val="00206288"/>
    <w:pPr>
      <w:widowControl w:val="0"/>
      <w:suppressAutoHyphens/>
      <w:spacing w:after="0"/>
      <w:jc w:val="center"/>
      <w:outlineLvl w:val="0"/>
    </w:pPr>
    <w:rPr>
      <w:b/>
      <w:bCs/>
      <w:color w:val="00000A"/>
      <w:sz w:val="32"/>
      <w:szCs w:val="4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66C55"/>
    <w:pPr>
      <w:keepNext/>
      <w:widowControl w:val="0"/>
      <w:suppressAutoHyphens/>
      <w:spacing w:before="240" w:after="60" w:line="240" w:lineRule="auto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88"/>
    <w:rPr>
      <w:rFonts w:ascii="Tahoma" w:eastAsiaTheme="minorHAnsi" w:hAnsi="Tahoma"/>
      <w:b/>
      <w:bCs/>
      <w:color w:val="00000A"/>
      <w:sz w:val="32"/>
      <w:szCs w:val="48"/>
      <w:lang w:eastAsia="en-US"/>
    </w:rPr>
  </w:style>
  <w:style w:type="character" w:customStyle="1" w:styleId="Nagwek2Znak">
    <w:name w:val="Nagłówek 2 Znak"/>
    <w:link w:val="Nagwek2"/>
    <w:uiPriority w:val="9"/>
    <w:rsid w:val="00266C55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0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Irina Genserovska</cp:lastModifiedBy>
  <cp:revision>3</cp:revision>
  <dcterms:created xsi:type="dcterms:W3CDTF">2021-10-22T11:23:00Z</dcterms:created>
  <dcterms:modified xsi:type="dcterms:W3CDTF">2021-10-26T08:16:00Z</dcterms:modified>
</cp:coreProperties>
</file>